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B84A" w14:textId="50FAA400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 w:rsidR="00E92C36">
        <w:rPr>
          <w:rFonts w:asciiTheme="minorHAnsi" w:eastAsia="HiddenHorzOCR" w:hAnsiTheme="minorHAnsi" w:cstheme="minorHAnsi"/>
          <w:b/>
          <w:color w:val="000000" w:themeColor="text1"/>
        </w:rPr>
        <w:t>3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3A0A38">
        <w:rPr>
          <w:rFonts w:asciiTheme="minorHAnsi" w:eastAsia="HiddenHorzOCR" w:hAnsiTheme="minorHAnsi" w:cstheme="minorHAnsi"/>
          <w:b/>
          <w:bCs/>
          <w:color w:val="000000" w:themeColor="text1"/>
        </w:rPr>
        <w:t xml:space="preserve">Nr </w:t>
      </w:r>
      <w:r w:rsidR="003A0A38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 xml:space="preserve">postępowania: 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RIZN.271.</w:t>
      </w:r>
      <w:r w:rsidR="00BC004A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D9437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D94375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05590" w:rsidRPr="0060559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177B3AC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3FCE7FDA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>Wykonawca:</w:t>
      </w:r>
    </w:p>
    <w:p w14:paraId="700BB1B3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color w:val="000000" w:themeColor="text1"/>
        </w:rPr>
      </w:pPr>
    </w:p>
    <w:p w14:paraId="0BAD0243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…………………………..</w:t>
      </w:r>
    </w:p>
    <w:p w14:paraId="073C7CEA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3690D5CE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6D670D89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57F2879" w14:textId="77777777" w:rsidR="00AD7A29" w:rsidRPr="00AD7A29" w:rsidRDefault="00AD7A29" w:rsidP="00AD7A2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1A406C6C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348C2322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F2C9628" w14:textId="77777777" w:rsidR="00AD7A29" w:rsidRPr="00063E0E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63E0E">
        <w:rPr>
          <w:rFonts w:asciiTheme="minorHAnsi" w:hAnsiTheme="minorHAnsi" w:cstheme="minorHAnsi"/>
          <w:b/>
          <w:bCs/>
        </w:rPr>
        <w:t>OŚWIADCZENIE WYKONAWCY</w:t>
      </w:r>
    </w:p>
    <w:p w14:paraId="6C896F52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 xml:space="preserve">składane w 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zakresie art. 108 ust. 1 pkt 5</w:t>
      </w:r>
    </w:p>
    <w:p w14:paraId="6F80811E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>ustawy z dnia z dnia 11 września 2019 r. Prawo zamówień publicznych</w:t>
      </w:r>
      <w:r w:rsidR="00C15CBC">
        <w:rPr>
          <w:rFonts w:asciiTheme="minorHAnsi" w:hAnsiTheme="minorHAnsi" w:cstheme="minorHAnsi"/>
          <w:b/>
          <w:bCs/>
          <w:sz w:val="22"/>
          <w:szCs w:val="22"/>
        </w:rPr>
        <w:t xml:space="preserve">, dalej </w:t>
      </w:r>
      <w:proofErr w:type="spellStart"/>
      <w:r w:rsidR="00C15CBC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2FE63E21" w14:textId="77777777" w:rsidR="00AD7A29" w:rsidRPr="00D94375" w:rsidRDefault="006208C7" w:rsidP="00556F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9437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otycz</w:t>
      </w:r>
      <w:r w:rsidR="00CC2C07" w:rsidRPr="00D94375">
        <w:rPr>
          <w:rFonts w:asciiTheme="minorHAnsi" w:hAnsiTheme="minorHAnsi" w:cstheme="minorHAnsi"/>
          <w:b/>
          <w:bCs/>
          <w:sz w:val="22"/>
          <w:szCs w:val="22"/>
        </w:rPr>
        <w:t>y przesłanki wykluczenia z postę</w:t>
      </w:r>
      <w:r w:rsidR="00AD7A29" w:rsidRPr="00D94375">
        <w:rPr>
          <w:rFonts w:asciiTheme="minorHAnsi" w:hAnsiTheme="minorHAnsi" w:cstheme="minorHAnsi"/>
          <w:b/>
          <w:bCs/>
          <w:sz w:val="22"/>
          <w:szCs w:val="22"/>
        </w:rPr>
        <w:t>powania</w:t>
      </w:r>
    </w:p>
    <w:p w14:paraId="2EEA56EC" w14:textId="4B95DDAA" w:rsidR="007979E2" w:rsidRPr="00D94375" w:rsidRDefault="00AD7A29" w:rsidP="00B94889">
      <w:pPr>
        <w:pStyle w:val="Tekstpodstawowy"/>
        <w:spacing w:after="0" w:line="360" w:lineRule="auto"/>
        <w:ind w:left="210" w:right="204" w:firstLine="4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Składając ofertę w post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ę</w:t>
      </w:r>
      <w:r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powaniu prowadzonym 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w trybie podstawowym </w:t>
      </w:r>
      <w:r w:rsidR="007F7BC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 fakultatywnymi negocjacjami</w:t>
      </w:r>
      <w:r w:rsidR="0078586A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na podstawie art. 275 pkt 2</w:t>
      </w:r>
      <w:r w:rsidR="00122361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Pzp</w:t>
      </w:r>
      <w:proofErr w:type="spellEnd"/>
      <w:r w:rsidR="007F7BC7" w:rsidRPr="00D94375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063E0E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pn.:</w:t>
      </w:r>
      <w:r w:rsidR="00CC2C07" w:rsidRPr="00D94375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B94889" w:rsidRPr="00D94375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99408053"/>
      <w:r w:rsidR="00D94375" w:rsidRPr="00D94375">
        <w:rPr>
          <w:rFonts w:asciiTheme="minorHAnsi" w:hAnsiTheme="minorHAnsi" w:cstheme="minorHAnsi"/>
          <w:b/>
          <w:color w:val="000000"/>
          <w:sz w:val="22"/>
          <w:szCs w:val="22"/>
        </w:rPr>
        <w:t>Remont (przebudowa) drogi w miejscowości Sowidół</w:t>
      </w:r>
      <w:bookmarkEnd w:id="0"/>
      <w:r w:rsidR="00B94889" w:rsidRPr="00D94375">
        <w:rPr>
          <w:rFonts w:asciiTheme="minorHAnsi" w:hAnsiTheme="minorHAnsi" w:cstheme="minorHAnsi"/>
          <w:b/>
          <w:sz w:val="22"/>
          <w:szCs w:val="22"/>
        </w:rPr>
        <w:t>”</w:t>
      </w:r>
    </w:p>
    <w:p w14:paraId="6F157AE4" w14:textId="77777777" w:rsidR="0078586A" w:rsidRPr="00A51DAF" w:rsidRDefault="0078586A" w:rsidP="007979E2">
      <w:pPr>
        <w:pStyle w:val="Tekstpodstawowy"/>
        <w:spacing w:before="103"/>
        <w:ind w:left="210" w:right="203" w:firstLine="498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zh-CN" w:bidi="ar-SA"/>
        </w:rPr>
      </w:pP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oświadczam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my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że:</w:t>
      </w:r>
    </w:p>
    <w:p w14:paraId="261870E5" w14:textId="77777777" w:rsidR="006208C7" w:rsidRPr="006208C7" w:rsidRDefault="003A0A38" w:rsidP="003A0A3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ind w:left="72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A51DAF">
        <w:rPr>
          <w:rFonts w:asciiTheme="minorHAnsi" w:eastAsia="Arial" w:hAnsiTheme="minorHAnsi" w:cstheme="minorHAnsi"/>
          <w:sz w:val="22"/>
          <w:szCs w:val="22"/>
        </w:rPr>
        <w:t>□</w:t>
      </w:r>
      <w:r w:rsidRPr="00A51DAF">
        <w:rPr>
          <w:rFonts w:eastAsia="Arial" w:cstheme="minorHAnsi"/>
          <w:sz w:val="22"/>
          <w:szCs w:val="22"/>
        </w:rPr>
        <w:t xml:space="preserve">  </w:t>
      </w:r>
      <w:r w:rsidR="00CC2C0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nie należę</w:t>
      </w:r>
      <w:r w:rsidR="006208C7" w:rsidRPr="00A51DAF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(my)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o ochronie konkurencji i konsumentów, </w:t>
      </w:r>
      <w:r w:rsidR="00063E0E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6208C7" w:rsidRPr="00A51DAF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r. poz.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275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6208C7" w:rsidRPr="00AD7A29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stosunku do Wykonawców, którzy złożyli o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drębne oferty w niniejszym postę</w:t>
      </w:r>
      <w:r w:rsidR="006208C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6208C7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12AFC29B" w14:textId="77777777" w:rsidR="00063E0E" w:rsidRPr="00063E0E" w:rsidRDefault="003A0A38" w:rsidP="003A0A38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  <w:r w:rsidRPr="008D3846">
        <w:rPr>
          <w:rFonts w:asciiTheme="minorHAnsi" w:eastAsia="Arial" w:hAnsiTheme="minorHAnsi" w:cstheme="minorHAnsi"/>
        </w:rPr>
        <w:t>□</w:t>
      </w:r>
      <w:r w:rsidRPr="004B0065">
        <w:rPr>
          <w:rFonts w:eastAsia="Arial" w:cstheme="minorHAnsi"/>
        </w:rPr>
        <w:t xml:space="preserve">  </w:t>
      </w:r>
      <w:r w:rsidR="00CC2C0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</w:t>
      </w:r>
      <w:r w:rsidR="0078586A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my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 r. poz. 275)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z innym Wykonawcą, który złożył odrębną ofertę 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niniejszym postę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063E0E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7BC97DBC" w14:textId="77777777" w:rsidR="003E3AEE" w:rsidRPr="003E3AEE" w:rsidRDefault="003E3AEE" w:rsidP="003E3AEE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sz w:val="22"/>
          <w:szCs w:val="22"/>
        </w:rPr>
      </w:pPr>
      <w:r w:rsidRPr="003E3AE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              </w:t>
      </w:r>
      <w:r w:rsidRPr="003E3AE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(*</w:t>
      </w:r>
      <w:r w:rsidRPr="003E3AEE">
        <w:rPr>
          <w:rFonts w:asciiTheme="minorHAnsi" w:hAnsiTheme="minorHAnsi" w:cstheme="minorHAnsi"/>
          <w:b/>
          <w:kern w:val="2"/>
          <w:sz w:val="22"/>
          <w:szCs w:val="22"/>
        </w:rPr>
        <w:t>należy zaznaczyć X)</w:t>
      </w:r>
    </w:p>
    <w:p w14:paraId="7BE995CC" w14:textId="77777777" w:rsidR="00063E0E" w:rsidRPr="00D152D7" w:rsidRDefault="00063E0E" w:rsidP="00063E0E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</w:p>
    <w:tbl>
      <w:tblPr>
        <w:tblW w:w="8363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403"/>
      </w:tblGrid>
      <w:tr w:rsidR="0078586A" w:rsidRPr="00AD7A29" w14:paraId="7283B1AB" w14:textId="77777777" w:rsidTr="006208C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B24A0BB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6F5E2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78586A" w:rsidRPr="00AD7A29" w14:paraId="75F79C82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143F3C4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B8FC6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65EFD009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73C118D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A1E79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59C1C487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3C0CDF6F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469F5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799D57CA" w14:textId="77777777" w:rsidR="0078586A" w:rsidRPr="00AD7A29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243DDE0A" w14:textId="48F9DF15" w:rsidR="0078586A" w:rsidRDefault="00D152D7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Jednocześnie przedkładam</w:t>
      </w:r>
      <w:r w:rsidR="002B701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(my)</w:t>
      </w: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następujące dokumenty lub informacje potwierdzające przygotowanie oferty niezależnie od innego Wykonawcy należącego do tej samej grupy kapitałowej:</w:t>
      </w:r>
    </w:p>
    <w:p w14:paraId="767D99B1" w14:textId="77777777" w:rsidR="000C2E53" w:rsidRDefault="000C2E53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747BF0A2" w14:textId="77777777" w:rsidR="00D152D7" w:rsidRPr="00D152D7" w:rsidRDefault="00D152D7" w:rsidP="00D152D7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……………………………………………………………………………………….</w:t>
      </w:r>
    </w:p>
    <w:p w14:paraId="51CB703C" w14:textId="77777777" w:rsidR="002A731E" w:rsidRPr="00D152D7" w:rsidRDefault="00D152D7" w:rsidP="0078586A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</w:t>
      </w:r>
    </w:p>
    <w:p w14:paraId="0092FC6D" w14:textId="77777777" w:rsidR="007F7BC7" w:rsidRPr="007F7BC7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21EA948D" w14:textId="77777777" w:rsidR="007F7BC7" w:rsidRPr="007F7BC7" w:rsidRDefault="007F7BC7" w:rsidP="007F7BC7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7F7BC7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C15CB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7F7BC7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3F51AC7B" w14:textId="77777777" w:rsidR="00122361" w:rsidRPr="007F7BC7" w:rsidRDefault="00122361" w:rsidP="00D152D7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FF0000"/>
        </w:rPr>
      </w:pPr>
    </w:p>
    <w:sectPr w:rsidR="00122361" w:rsidRPr="007F7BC7" w:rsidSect="00E579A9">
      <w:footerReference w:type="default" r:id="rId7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AB3F" w14:textId="77777777" w:rsidR="00933313" w:rsidRDefault="00933313" w:rsidP="002B7017">
      <w:r>
        <w:separator/>
      </w:r>
    </w:p>
  </w:endnote>
  <w:endnote w:type="continuationSeparator" w:id="0">
    <w:p w14:paraId="75CE3FFF" w14:textId="77777777" w:rsidR="00933313" w:rsidRDefault="00933313" w:rsidP="002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C489" w14:textId="0590DABE" w:rsidR="0028100F" w:rsidRDefault="00E579A9" w:rsidP="0028100F">
    <w:pPr>
      <w:pStyle w:val="Stopka"/>
      <w:jc w:val="center"/>
      <w:rPr>
        <w:rFonts w:ascii="Calibri" w:eastAsia="Times New Roman" w:hAnsi="Calibri" w:cs="Calibri"/>
        <w:i/>
        <w:iCs/>
        <w:kern w:val="0"/>
        <w:sz w:val="16"/>
        <w:szCs w:val="16"/>
        <w:lang w:eastAsia="pl-PL" w:bidi="ar-SA"/>
      </w:rPr>
    </w:pPr>
    <w:r>
      <w:t xml:space="preserve"> </w:t>
    </w:r>
    <w:r w:rsidR="0028100F"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7AEA3148" w14:textId="0EC8989C" w:rsidR="00A51DAF" w:rsidRDefault="00A51DAF" w:rsidP="008A111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D2E9" w14:textId="77777777" w:rsidR="00933313" w:rsidRDefault="00933313" w:rsidP="002B7017">
      <w:r>
        <w:separator/>
      </w:r>
    </w:p>
  </w:footnote>
  <w:footnote w:type="continuationSeparator" w:id="0">
    <w:p w14:paraId="05F6A0EF" w14:textId="77777777" w:rsidR="00933313" w:rsidRDefault="00933313" w:rsidP="002B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2A976AC"/>
    <w:multiLevelType w:val="hybridMultilevel"/>
    <w:tmpl w:val="7BECB20A"/>
    <w:lvl w:ilvl="0" w:tplc="737A8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6583">
    <w:abstractNumId w:val="1"/>
  </w:num>
  <w:num w:numId="2" w16cid:durableId="359168655">
    <w:abstractNumId w:val="0"/>
  </w:num>
  <w:num w:numId="3" w16cid:durableId="352458518">
    <w:abstractNumId w:val="2"/>
  </w:num>
  <w:num w:numId="4" w16cid:durableId="832531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B9"/>
    <w:rsid w:val="00016578"/>
    <w:rsid w:val="0002665C"/>
    <w:rsid w:val="00056A52"/>
    <w:rsid w:val="00063E0E"/>
    <w:rsid w:val="0007110C"/>
    <w:rsid w:val="00097800"/>
    <w:rsid w:val="000C2E53"/>
    <w:rsid w:val="000E7098"/>
    <w:rsid w:val="00107192"/>
    <w:rsid w:val="00122361"/>
    <w:rsid w:val="00151F6E"/>
    <w:rsid w:val="00164ACA"/>
    <w:rsid w:val="0019352B"/>
    <w:rsid w:val="001B4FCC"/>
    <w:rsid w:val="002526B9"/>
    <w:rsid w:val="0026388E"/>
    <w:rsid w:val="0028100F"/>
    <w:rsid w:val="002825A4"/>
    <w:rsid w:val="002A731E"/>
    <w:rsid w:val="002B7017"/>
    <w:rsid w:val="002C09AE"/>
    <w:rsid w:val="002E5650"/>
    <w:rsid w:val="002F3919"/>
    <w:rsid w:val="00343285"/>
    <w:rsid w:val="0039363E"/>
    <w:rsid w:val="0039437F"/>
    <w:rsid w:val="003A0A38"/>
    <w:rsid w:val="003A576B"/>
    <w:rsid w:val="003E3A4A"/>
    <w:rsid w:val="003E3AEE"/>
    <w:rsid w:val="003E7E2C"/>
    <w:rsid w:val="00425A76"/>
    <w:rsid w:val="00461509"/>
    <w:rsid w:val="00490E13"/>
    <w:rsid w:val="004A55E6"/>
    <w:rsid w:val="0052068F"/>
    <w:rsid w:val="0052697D"/>
    <w:rsid w:val="00531352"/>
    <w:rsid w:val="00545C47"/>
    <w:rsid w:val="00556F6E"/>
    <w:rsid w:val="00561529"/>
    <w:rsid w:val="00583104"/>
    <w:rsid w:val="00590262"/>
    <w:rsid w:val="005B60DE"/>
    <w:rsid w:val="005C571C"/>
    <w:rsid w:val="00605590"/>
    <w:rsid w:val="006208C7"/>
    <w:rsid w:val="00643ED0"/>
    <w:rsid w:val="0065149E"/>
    <w:rsid w:val="00651613"/>
    <w:rsid w:val="0069798B"/>
    <w:rsid w:val="006A6B11"/>
    <w:rsid w:val="006C2DA3"/>
    <w:rsid w:val="006D1A85"/>
    <w:rsid w:val="00737FA5"/>
    <w:rsid w:val="00781918"/>
    <w:rsid w:val="0078586A"/>
    <w:rsid w:val="007979E2"/>
    <w:rsid w:val="007F7BC7"/>
    <w:rsid w:val="00826C37"/>
    <w:rsid w:val="00855A9C"/>
    <w:rsid w:val="0085775B"/>
    <w:rsid w:val="008674A7"/>
    <w:rsid w:val="008702CD"/>
    <w:rsid w:val="008A1117"/>
    <w:rsid w:val="008B5007"/>
    <w:rsid w:val="008D3846"/>
    <w:rsid w:val="008E2A2A"/>
    <w:rsid w:val="00933313"/>
    <w:rsid w:val="0098041F"/>
    <w:rsid w:val="009911DA"/>
    <w:rsid w:val="009A0BF6"/>
    <w:rsid w:val="009C6E9D"/>
    <w:rsid w:val="00A166D6"/>
    <w:rsid w:val="00A344CD"/>
    <w:rsid w:val="00A51DAF"/>
    <w:rsid w:val="00AD7A29"/>
    <w:rsid w:val="00AF1FA4"/>
    <w:rsid w:val="00B20106"/>
    <w:rsid w:val="00B51D4C"/>
    <w:rsid w:val="00B80995"/>
    <w:rsid w:val="00B94889"/>
    <w:rsid w:val="00BB5E0A"/>
    <w:rsid w:val="00BC004A"/>
    <w:rsid w:val="00BF4FCE"/>
    <w:rsid w:val="00C15CBC"/>
    <w:rsid w:val="00C316EF"/>
    <w:rsid w:val="00C57436"/>
    <w:rsid w:val="00C7244A"/>
    <w:rsid w:val="00C97BDB"/>
    <w:rsid w:val="00CB07B7"/>
    <w:rsid w:val="00CC2C07"/>
    <w:rsid w:val="00D00579"/>
    <w:rsid w:val="00D12E0A"/>
    <w:rsid w:val="00D152D7"/>
    <w:rsid w:val="00D15B04"/>
    <w:rsid w:val="00D26CE1"/>
    <w:rsid w:val="00D62612"/>
    <w:rsid w:val="00D94375"/>
    <w:rsid w:val="00E21C4C"/>
    <w:rsid w:val="00E579A9"/>
    <w:rsid w:val="00E61712"/>
    <w:rsid w:val="00E92C36"/>
    <w:rsid w:val="00EB52F0"/>
    <w:rsid w:val="00F16542"/>
    <w:rsid w:val="00F6375D"/>
    <w:rsid w:val="00F6629E"/>
    <w:rsid w:val="00FA476A"/>
    <w:rsid w:val="00FC0FC2"/>
    <w:rsid w:val="00FE2843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6B4CBFF"/>
  <w15:docId w15:val="{0069B6CE-8CC5-4D25-976F-EE072082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character" w:customStyle="1" w:styleId="bold">
    <w:name w:val="bold"/>
    <w:rsid w:val="00122361"/>
    <w:rPr>
      <w:b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152D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1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F7B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Urząd Gminy Regnów</cp:lastModifiedBy>
  <cp:revision>29</cp:revision>
  <cp:lastPrinted>2022-06-10T09:14:00Z</cp:lastPrinted>
  <dcterms:created xsi:type="dcterms:W3CDTF">2022-11-18T09:14:00Z</dcterms:created>
  <dcterms:modified xsi:type="dcterms:W3CDTF">2025-05-29T09:07:00Z</dcterms:modified>
</cp:coreProperties>
</file>