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77"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Regnów: Organizacja placu zabaw w ramach projektu: Przedszkole w Szkole Podstawowej w Gminie Regnów</w:t>
      </w:r>
      <w:r w:rsidRPr="001D0D88">
        <w:rPr>
          <w:rFonts w:ascii="Times New Roman" w:hAnsi="Times New Roman" w:cs="Times New Roman"/>
          <w:color w:val="auto"/>
          <w:lang w:eastAsia="pl-PL"/>
        </w:rPr>
        <w:br/>
      </w:r>
      <w:r w:rsidRPr="001D0D88">
        <w:rPr>
          <w:rFonts w:ascii="Times New Roman" w:hAnsi="Times New Roman" w:cs="Times New Roman"/>
          <w:b/>
          <w:bCs/>
          <w:color w:val="auto"/>
          <w:lang w:eastAsia="pl-PL"/>
        </w:rPr>
        <w:t>Numer ogłoszenia: 295710 - 2014; data zamieszczenia: 05.09.2014</w:t>
      </w:r>
      <w:r w:rsidRPr="001D0D88">
        <w:rPr>
          <w:rFonts w:ascii="Times New Roman" w:hAnsi="Times New Roman" w:cs="Times New Roman"/>
          <w:color w:val="auto"/>
          <w:lang w:eastAsia="pl-PL"/>
        </w:rPr>
        <w:br/>
        <w:t>OGŁOSZENIE O ZAMÓWIENIU - roboty budowlane</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Zamieszczanie ogłoszenia:</w:t>
      </w:r>
      <w:r w:rsidRPr="001D0D88">
        <w:rPr>
          <w:rFonts w:ascii="Times New Roman" w:hAnsi="Times New Roman" w:cs="Times New Roman"/>
          <w:color w:val="auto"/>
          <w:lang w:eastAsia="pl-PL"/>
        </w:rPr>
        <w:t xml:space="preserve"> nieobowiązkowe</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Ogłoszenie dotyczy:</w:t>
      </w:r>
      <w:r w:rsidRPr="001D0D88">
        <w:rPr>
          <w:rFonts w:ascii="Times New Roman" w:hAnsi="Times New Roman" w:cs="Times New Roman"/>
          <w:color w:val="auto"/>
          <w:lang w:eastAsia="pl-PL"/>
        </w:rPr>
        <w:t xml:space="preserve"> zamówienia publicznego.</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SEKCJA I: ZAMAWIAJĄCY</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 1) NAZWA I ADRES:</w:t>
      </w:r>
      <w:r w:rsidRPr="001D0D88">
        <w:rPr>
          <w:rFonts w:ascii="Times New Roman" w:hAnsi="Times New Roman" w:cs="Times New Roman"/>
          <w:color w:val="auto"/>
          <w:lang w:eastAsia="pl-PL"/>
        </w:rPr>
        <w:t xml:space="preserve"> Gmina Regnów , Regnów 95, 96-232 Regnów, woj. łódzkie, tel. 0-46 8131623, faks 0-46 8131625.</w:t>
      </w:r>
    </w:p>
    <w:p w:rsidR="00403777" w:rsidRPr="001D0D88" w:rsidRDefault="00403777" w:rsidP="00BD6963">
      <w:pPr>
        <w:numPr>
          <w:ilvl w:val="0"/>
          <w:numId w:val="1"/>
        </w:num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Adres strony internetowej zamawiającego:</w:t>
      </w:r>
      <w:r w:rsidRPr="001D0D88">
        <w:rPr>
          <w:rFonts w:ascii="Times New Roman" w:hAnsi="Times New Roman" w:cs="Times New Roman"/>
          <w:color w:val="auto"/>
          <w:lang w:eastAsia="pl-PL"/>
        </w:rPr>
        <w:t xml:space="preserve"> ugregnow.pl</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 2) RODZAJ ZAMAWIAJĄCEGO:</w:t>
      </w:r>
      <w:r w:rsidRPr="001D0D88">
        <w:rPr>
          <w:rFonts w:ascii="Times New Roman" w:hAnsi="Times New Roman" w:cs="Times New Roman"/>
          <w:color w:val="auto"/>
          <w:lang w:eastAsia="pl-PL"/>
        </w:rPr>
        <w:t xml:space="preserve"> Administracja samorządowa.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SEKCJA II: PRZEDMIOT ZAMÓWIENIA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II.1) OKREŚLENIE PRZEDMIOTU ZAMÓWIENIA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II.1.1) Nazwa nadana zamówieniu przez zamawiającego:</w:t>
      </w:r>
      <w:r w:rsidRPr="001D0D88">
        <w:rPr>
          <w:rFonts w:ascii="Times New Roman" w:hAnsi="Times New Roman" w:cs="Times New Roman"/>
          <w:color w:val="auto"/>
          <w:lang w:eastAsia="pl-PL"/>
        </w:rPr>
        <w:t xml:space="preserve"> Organizacja placu zabaw w ramach projektu: Przedszkole w Szkole Podstawowej w Gminie Regnów.</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II.1.2) Rodzaj zamówienia:</w:t>
      </w:r>
      <w:r w:rsidRPr="001D0D88">
        <w:rPr>
          <w:rFonts w:ascii="Times New Roman" w:hAnsi="Times New Roman" w:cs="Times New Roman"/>
          <w:color w:val="auto"/>
          <w:lang w:eastAsia="pl-PL"/>
        </w:rPr>
        <w:t xml:space="preserve"> roboty budowlane.</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II.1.4) Określenie przedmiotu oraz wielkości lub zakresu zamówienia:</w:t>
      </w:r>
      <w:r w:rsidRPr="001D0D88">
        <w:rPr>
          <w:rFonts w:ascii="Times New Roman" w:hAnsi="Times New Roman" w:cs="Times New Roman"/>
          <w:color w:val="auto"/>
          <w:lang w:eastAsia="pl-PL"/>
        </w:rPr>
        <w:t xml:space="preserve"> Organizacja placu zabaw w ramach projektu: Przedszkole w Szkole Podstawowej w Gminie Regnów. CZĘŚĆ OGÓLNA.Teren przeznaczony pod organizację placu zabaw przylega bezpośrednio do istniejącego już placu zabaw przy Szkole Podstawowej (dz. nr 288.4). Teren położony jest wzdłuż wiejskiej drogi od strony wschodniej istniejącego placu z niewielkim spadkiem w kierunku stadionu i drogi. Powierzchnia działki jest wolna od zabudowy. W chwili obecnej teren porastają niewielkie grupy krzewów ozdobnych, które są przeznaczone do przesadzenia w miejsce wyznaczone przez inwestora. Dane podstawowe placu: Pow. przeznaczony pod urządzenie placu 380,00m2, w tym strefy:strefa pomarańczowa 200,00m2, strefa zielona, 115,50m2,strefa niebieska 64,50m2. OGRODZENIE; Dostęp do projektowanego placu jest zapewniony z dwóch stron. Planuje się furtkę przejściową wmontowaną w istniejące ogrodzenie placu zabaw. Furtka o wym. S-1,50m x H-1,20m oraz od strony południowej planowana jest jednoskrzydłowa brama o wym. S-3,0 x H-1,20m o konstrukcji metalowej otwierana do środka placu. Brama ta jest przeznaczona w celu utrzymania czystości na placu zabaw. W codziennym użytkowaniu będzie zamknięta. Projektowane ogrodzenie: L12,50xH1,20mb - odcinek od strony stadionu; L 5,50xH1,20mb - narożnik od stadionu; L23,00xH1,20mb - odcinek od ulicy, L 6,00xH1,20mb - odcinek od wjazdu, L 3,00xH1,20mb - brama dla obsługi L 1,50xH1,20mb - furtka wmontowana w istniejące ogrodzenie RAZEM L-51,50 x H-1,20mb. Konstrukcja ogrodzenia - słupki 40x30x2,5mm i rygle 300x20,0mm z profili zamkniętych. Sztachety drewniane z drewna liściastego - grubość od 18,0 do 22,0mm, szerokość od 100,0 do 120,0mm. Rozstaw sztachet co 30,0mm, wysokość 1 200,0mm. Końce sztachet zaokrąglone. Sztachety mocować do rygli nierdzewnymi śrubami zamkowymi M5-6,0mm. Końcówki (gwintowane) po zamontowaniu odciąć na gładko. Sztachety zakonserwować środkami grzybo- i owadobójczymi stosowanymi na zewnątrz - Sadolin (zielony). ORGANIZACJA PLACU ZABAW Plac zabaw przeznaczony jest dla dzieci w wieku przedszkolnym do wspólnego użytkowania oddziału A i B. Projektuje się wyposażenie placu w urządzenia, które są wymienione i oznaczone cyframi na szkicu sytuacyjnym działki. Każde z tych urządzeń posiada szczegółową kartę informacyjną z ogólnym widokiem, podstawowymi wymiarami i wyznaczonymi strefami bezpieczeństwa (załącznik nr 1). Na wyznaczonym placu zabaw, od strony furtki wejściowej, planowane jest ustawienie dwóch ławek z oparciem o konstrukcji żeliwnej (stanowisko nr 8). Pozostałe elementy placu (zabawki) pokazane są na szkicu sytuacyjnym. Wszystkie urządzenia na placu powinny być zamontowane za pomocą kotew stalowych wraz z betonowymi stopami zgodnie z załączona instrukcją do urządzenia. Strefa pomarańczowa (bezpieczeństwa) - strefy te będą obudowane czarnym krawężnikiem gumowym o wym. 750x50x25mm. Krawężniki te mają za zadanie oddzielić nawierzchnię trawiastą od strefy izolacyjnej. Strefa pomarańczowa będzie wyłożona nawierzchnią tartanową typ MFL typu (puzle) (pow. 200,00m2). Nawierzchnia ta amortyzuje upadek z wysokości do 1,50m. Strefa zielona (trawiasta) - założona na gruncie piaszczysto-humusowym bez domieszki tłucznia, kamieni i innych twardych elementów (pow. 115,50m2). Strefa niebieska (komunikacyjna) - przeznaczona jest dla ruchu komunikacyjnego (pieszego) i dla utrzymania czystości obsługi placu zabaw (pow. 64,50m2). UWAGA. Wszystkie nawierzchnie wyposażenia placu zabaw powinny być realizowane zgodnie z normą PN-EN 1177. Wszystkie urządzenia zastosowane na placach zabaw dla dzieci powinny być wykonane zgodnie z normą PN-EN 1176. Wszystkie montowane na placu zabaw urządzenia, powinny posiadać odpowiednie atesty lub certyfikaty zgodnie z Rozporządzeniem Ministra Edukacji i Sportu z dnia 31 grudnia 2002 r. Dz.U. 2003 nr 6 poz. 69. Jednak obowiązek zapewnienia bezpieczeństwa należy do właściciela placów zabaw, który ma prawny obowiązek stosować się do instrukcji kontroli i konserwacji przekazanych przez wykonawcę placu zabaw. Szczegółowy przedmiot zamówienia określa dokumentacja techniczna przedmiar robót, załącznik do stanowiące SWIZ;.</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II.1.6) Wspólny Słownik Zamówień (CPV):</w:t>
      </w:r>
      <w:r w:rsidRPr="001D0D88">
        <w:rPr>
          <w:rFonts w:ascii="Times New Roman" w:hAnsi="Times New Roman" w:cs="Times New Roman"/>
          <w:color w:val="auto"/>
          <w:lang w:eastAsia="pl-PL"/>
        </w:rPr>
        <w:t xml:space="preserve"> 45.11.27.21-5.</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II.1.7) Czy dopuszcza się złożenie oferty częściowej:</w:t>
      </w:r>
      <w:r w:rsidRPr="001D0D88">
        <w:rPr>
          <w:rFonts w:ascii="Times New Roman" w:hAnsi="Times New Roman" w:cs="Times New Roman"/>
          <w:color w:val="auto"/>
          <w:lang w:eastAsia="pl-PL"/>
        </w:rPr>
        <w:t xml:space="preserve"> nie.</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II.1.8) Czy dopuszcza się złożenie oferty wariantowej:</w:t>
      </w:r>
      <w:r w:rsidRPr="001D0D88">
        <w:rPr>
          <w:rFonts w:ascii="Times New Roman" w:hAnsi="Times New Roman" w:cs="Times New Roman"/>
          <w:color w:val="auto"/>
          <w:lang w:eastAsia="pl-PL"/>
        </w:rPr>
        <w:t xml:space="preserve"> nie.</w:t>
      </w:r>
    </w:p>
    <w:p w:rsidR="00403777"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II.2) CZAS TRWANIA ZAMÓWIENIA LUB TERMIN WYKONANIA:</w:t>
      </w:r>
      <w:r w:rsidRPr="001D0D88">
        <w:rPr>
          <w:rFonts w:ascii="Times New Roman" w:hAnsi="Times New Roman" w:cs="Times New Roman"/>
          <w:color w:val="auto"/>
          <w:lang w:eastAsia="pl-PL"/>
        </w:rPr>
        <w:t xml:space="preserve"> </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Zakończenie: 15.11.2014.</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SEKCJA III: INFORMACJE O CHARAKTERZE PRAWNYM, EKONOMICZNYM, FINANSOWYM I TECHNICZNYM</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III.1) WADIUM</w:t>
      </w:r>
      <w:r>
        <w:rPr>
          <w:rFonts w:ascii="Times New Roman" w:hAnsi="Times New Roman" w:cs="Times New Roman"/>
          <w:color w:val="auto"/>
          <w:lang w:eastAsia="pl-PL"/>
        </w:rPr>
        <w:t xml:space="preserve">    </w:t>
      </w:r>
      <w:r w:rsidRPr="001D0D88">
        <w:rPr>
          <w:rFonts w:ascii="Times New Roman" w:hAnsi="Times New Roman" w:cs="Times New Roman"/>
          <w:b/>
          <w:bCs/>
          <w:color w:val="auto"/>
          <w:lang w:eastAsia="pl-PL"/>
        </w:rPr>
        <w:t>Informacja na temat wadium:</w:t>
      </w:r>
      <w:r w:rsidRPr="001D0D88">
        <w:rPr>
          <w:rFonts w:ascii="Times New Roman" w:hAnsi="Times New Roman" w:cs="Times New Roman"/>
          <w:color w:val="auto"/>
          <w:lang w:eastAsia="pl-PL"/>
        </w:rPr>
        <w:t xml:space="preserve"> wadium nie jest wymagane</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III.2) ZALICZKI</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III.3) WARUNKI UDZIAŁU W POSTĘPOWANIU ORAZ OPIS SPOSOBU DOKONYWANIA OCENY SPEŁNIANIA TYCH WARUNKÓW</w:t>
      </w:r>
    </w:p>
    <w:p w:rsidR="00403777" w:rsidRPr="001D0D88" w:rsidRDefault="00403777" w:rsidP="00BD6963">
      <w:pPr>
        <w:numPr>
          <w:ilvl w:val="0"/>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 3.1) Uprawnienia do wykonywania określonej działalności lub czynności, jeżeli przepisy prawa nakładają obowiązek ich posiadania</w:t>
      </w:r>
    </w:p>
    <w:p w:rsidR="00403777" w:rsidRPr="001D0D88" w:rsidRDefault="00403777" w:rsidP="00BD6963">
      <w:pPr>
        <w:spacing w:before="0" w:line="276" w:lineRule="auto"/>
        <w:ind w:left="720"/>
        <w:rPr>
          <w:rFonts w:ascii="Times New Roman" w:hAnsi="Times New Roman" w:cs="Times New Roman"/>
          <w:color w:val="auto"/>
          <w:lang w:eastAsia="pl-PL"/>
        </w:rPr>
      </w:pPr>
      <w:r w:rsidRPr="001D0D88">
        <w:rPr>
          <w:rFonts w:ascii="Times New Roman" w:hAnsi="Times New Roman" w:cs="Times New Roman"/>
          <w:b/>
          <w:bCs/>
          <w:color w:val="auto"/>
          <w:lang w:eastAsia="pl-PL"/>
        </w:rPr>
        <w:t>Opis sposobu dokonywania oceny spełniania tego warunku</w:t>
      </w:r>
    </w:p>
    <w:p w:rsidR="00403777" w:rsidRPr="001D0D88" w:rsidRDefault="00403777" w:rsidP="00BD6963">
      <w:pPr>
        <w:numPr>
          <w:ilvl w:val="1"/>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Posiadają uprawnienia do wykonywania określonej działalności lub czynności, jeżeli przepisy prawa nakładają obowiązek ich posiadania Zamawiający odstępuje od opisu sposobu dokonywania oceny spełniania przedmiotowego warunku. Zamawiający dokona oceny spełniania warunków na podstawie oświadczenia wykonawcy, że spełnia wszystkie warunki określone przepisami art. 22 ust. 1 ustawy oraz dokumentów złożonych przez Wykonawcę w ofercie zgodnie z załącznikiem nr 2 do SIWZ, Zamawiający dokona oceny spełniania powyższych warunków na zasadzie (spełnia)-nie spełnia</w:t>
      </w:r>
    </w:p>
    <w:p w:rsidR="00403777" w:rsidRPr="001D0D88" w:rsidRDefault="00403777" w:rsidP="00BD6963">
      <w:pPr>
        <w:numPr>
          <w:ilvl w:val="0"/>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III.3.2) Wiedza i doświadczenie</w:t>
      </w:r>
    </w:p>
    <w:p w:rsidR="00403777" w:rsidRPr="001D0D88" w:rsidRDefault="00403777" w:rsidP="00BD6963">
      <w:pPr>
        <w:spacing w:before="0" w:line="276" w:lineRule="auto"/>
        <w:ind w:left="720"/>
        <w:rPr>
          <w:rFonts w:ascii="Times New Roman" w:hAnsi="Times New Roman" w:cs="Times New Roman"/>
          <w:color w:val="auto"/>
          <w:lang w:eastAsia="pl-PL"/>
        </w:rPr>
      </w:pPr>
      <w:r w:rsidRPr="001D0D88">
        <w:rPr>
          <w:rFonts w:ascii="Times New Roman" w:hAnsi="Times New Roman" w:cs="Times New Roman"/>
          <w:b/>
          <w:bCs/>
          <w:color w:val="auto"/>
          <w:lang w:eastAsia="pl-PL"/>
        </w:rPr>
        <w:t>Opis sposobu dokonywania oceny spełniania tego warunku</w:t>
      </w:r>
    </w:p>
    <w:p w:rsidR="00403777" w:rsidRPr="001D0D88" w:rsidRDefault="00403777" w:rsidP="00BD6963">
      <w:pPr>
        <w:numPr>
          <w:ilvl w:val="1"/>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Wykonawca spełnia ten warunek, jeżeli w okresie ostatnich pięciu lat przed upływem terminu składania ofert albo wniosków o dopuszczenie do udziału w postępowaniu, a jeżeli okres prowadzenia działalności jest krótszy - w tym okresie wykonał co najmniej 1 robotę polegającą na wykonaniu robót, które odpowiadają zakresem przedmiotowi zamówienia. Uwaga: Za jedną robotę należy uznać robotę będącą przedmiotem jednej umowy. Wykonawca może polegać na wiedzy i doświadczeniu innego lub innych podmiotów, niezależnie od charakteru prawnego łączącego go z nimi stosunku. Opis sposobu dokonania oceny tego warunku: Zamawiający dokona oceny na podstawie oświadczenia wykonawcy, że spełnia wszystkie warunki określone przepisami art. 22 ust. 1 ustawy oraz na podstawie złożonego wykazu wykonanych robót budowlanych i dokumentów potwierdzających, że roboty zostały wykonane zgodnie z zasadami sztuki budowlanej i prawidłowo ukończone (zął. Nr 3). Zamawiający dokona oceny spełniania powyższych warunków na zasadzie (spełnia)nie spełnia</w:t>
      </w:r>
    </w:p>
    <w:p w:rsidR="00403777" w:rsidRPr="001D0D88" w:rsidRDefault="00403777" w:rsidP="00BD6963">
      <w:pPr>
        <w:numPr>
          <w:ilvl w:val="0"/>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III.3.3) Potencjał techniczny</w:t>
      </w:r>
    </w:p>
    <w:p w:rsidR="00403777" w:rsidRPr="001D0D88" w:rsidRDefault="00403777" w:rsidP="00BD6963">
      <w:pPr>
        <w:spacing w:before="0" w:line="276" w:lineRule="auto"/>
        <w:ind w:left="720"/>
        <w:rPr>
          <w:rFonts w:ascii="Times New Roman" w:hAnsi="Times New Roman" w:cs="Times New Roman"/>
          <w:color w:val="auto"/>
          <w:lang w:eastAsia="pl-PL"/>
        </w:rPr>
      </w:pPr>
      <w:r w:rsidRPr="001D0D88">
        <w:rPr>
          <w:rFonts w:ascii="Times New Roman" w:hAnsi="Times New Roman" w:cs="Times New Roman"/>
          <w:b/>
          <w:bCs/>
          <w:color w:val="auto"/>
          <w:lang w:eastAsia="pl-PL"/>
        </w:rPr>
        <w:t>Opis sposobu dokonywania oceny spełniania tego warunku</w:t>
      </w:r>
    </w:p>
    <w:p w:rsidR="00403777" w:rsidRPr="001D0D88" w:rsidRDefault="00403777" w:rsidP="00BD6963">
      <w:pPr>
        <w:numPr>
          <w:ilvl w:val="1"/>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Zamawiający nie stawia szczegółowego warunku w tym zakresie. Zamawiający żąda złożenia oświadczenia z art. 22 ust. 1 ustawy i jego weryfikacja zostanie przeprowadzona wg formuły: spełnia- nie spełnia</w:t>
      </w:r>
    </w:p>
    <w:p w:rsidR="00403777" w:rsidRPr="001D0D88" w:rsidRDefault="00403777" w:rsidP="00BD6963">
      <w:pPr>
        <w:numPr>
          <w:ilvl w:val="0"/>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III.3.4) Osoby zdolne do wykonania zamówienia</w:t>
      </w:r>
    </w:p>
    <w:p w:rsidR="00403777" w:rsidRPr="001D0D88" w:rsidRDefault="00403777" w:rsidP="00BD6963">
      <w:pPr>
        <w:spacing w:before="0" w:line="276" w:lineRule="auto"/>
        <w:ind w:left="720"/>
        <w:rPr>
          <w:rFonts w:ascii="Times New Roman" w:hAnsi="Times New Roman" w:cs="Times New Roman"/>
          <w:color w:val="auto"/>
          <w:lang w:eastAsia="pl-PL"/>
        </w:rPr>
      </w:pPr>
      <w:r w:rsidRPr="001D0D88">
        <w:rPr>
          <w:rFonts w:ascii="Times New Roman" w:hAnsi="Times New Roman" w:cs="Times New Roman"/>
          <w:b/>
          <w:bCs/>
          <w:color w:val="auto"/>
          <w:lang w:eastAsia="pl-PL"/>
        </w:rPr>
        <w:t>Opis sposobu dokonywania oceny spełniania tego warunku</w:t>
      </w:r>
    </w:p>
    <w:p w:rsidR="00403777" w:rsidRPr="001D0D88" w:rsidRDefault="00403777" w:rsidP="00BD6963">
      <w:pPr>
        <w:numPr>
          <w:ilvl w:val="1"/>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dysponowania osobami zdolnymi do wykonania zamówienia t.j. wykonawca musi dysponować co najmniej osobami pełniącymi funkcje: (Zał. Nr 4) Spełnienie powyższego warunku należy potwierdzić wykazem osób zgodnie z załącznikiem nr 4 do SIWZ oraz podać informacje o podstawie dysponowania tymi osobami.. Opis sposobu dokonania oceny tego warunku: Zamawiający dokona oceny warunku, jeżeli w wykazie sporządzonym według załącznika nr 4 do SIWZ, wykazane zostaną osoby pełniące funkcję: a) kierownika budowy z uprawnieniami do wykonywania samodzielnych funkcji w budownictwie ., Zamawiający dokona oceny spełniania powyższych warunków na zasadzie spełnia-nie spełnia</w:t>
      </w:r>
    </w:p>
    <w:p w:rsidR="00403777" w:rsidRPr="001D0D88" w:rsidRDefault="00403777" w:rsidP="00BD6963">
      <w:pPr>
        <w:numPr>
          <w:ilvl w:val="0"/>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III.3.5) Sytuacja ekonomiczna i finansowa</w:t>
      </w:r>
    </w:p>
    <w:p w:rsidR="00403777" w:rsidRPr="001D0D88" w:rsidRDefault="00403777" w:rsidP="00BD6963">
      <w:pPr>
        <w:spacing w:before="0" w:line="276" w:lineRule="auto"/>
        <w:ind w:left="720"/>
        <w:rPr>
          <w:rFonts w:ascii="Times New Roman" w:hAnsi="Times New Roman" w:cs="Times New Roman"/>
          <w:color w:val="auto"/>
          <w:lang w:eastAsia="pl-PL"/>
        </w:rPr>
      </w:pPr>
      <w:r w:rsidRPr="001D0D88">
        <w:rPr>
          <w:rFonts w:ascii="Times New Roman" w:hAnsi="Times New Roman" w:cs="Times New Roman"/>
          <w:b/>
          <w:bCs/>
          <w:color w:val="auto"/>
          <w:lang w:eastAsia="pl-PL"/>
        </w:rPr>
        <w:t>Opis sposobu dokonywania oceny spełniania tego warunku</w:t>
      </w:r>
    </w:p>
    <w:p w:rsidR="00403777" w:rsidRPr="001D0D88" w:rsidRDefault="00403777" w:rsidP="00BD6963">
      <w:pPr>
        <w:numPr>
          <w:ilvl w:val="1"/>
          <w:numId w:val="2"/>
        </w:num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Zamawiający nie stawia szczegółowego warunku w tym zakresie. Zamawiający żąda złożenia oświadczenia z art. 22 ust. 1 ustawy i jego weryfikacja zostanie przeprowadzona wg formuły: spełnia- nie spełnia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III.4) INFORMACJA O OŚWIADCZENIACH LUB DOKUMENTACH, JAKIE MAJĄ DOSTARCZYĆ WYKONAWCY W CELU POTWIERDZENIA SPEŁNIANIA WARUNKÓW UDZIAŁU W POSTĘPOWANIU ORAZ NIEPODLEGANIA WYKLUCZENIU NA PODSTAWIE ART. 24 UST. 1 USTAWY</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III.4.1) W zakresie wykazania spełniania przez wykonawcę warunków, o których mowa w art. 22 ust. 1 ustawy, oprócz oświadczenia o spełnianiu warunków udziału w postępowaniu należy przedłożyć:</w:t>
      </w:r>
    </w:p>
    <w:p w:rsidR="00403777" w:rsidRPr="001D0D88" w:rsidRDefault="00403777" w:rsidP="00BD6963">
      <w:pPr>
        <w:numPr>
          <w:ilvl w:val="0"/>
          <w:numId w:val="3"/>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potwierdzenie posiadania uprawnień do wykonywania określonej działalności lub czynności, jeżeli przepisy prawa nakładają obowiązek ich posiadania, w szczególności koncesje, zezwolenia lub licencje;</w:t>
      </w:r>
    </w:p>
    <w:p w:rsidR="00403777" w:rsidRPr="001D0D88" w:rsidRDefault="00403777" w:rsidP="00BD6963">
      <w:pPr>
        <w:numPr>
          <w:ilvl w:val="0"/>
          <w:numId w:val="3"/>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03777" w:rsidRPr="001D0D88" w:rsidRDefault="00403777" w:rsidP="00BD6963">
      <w:pPr>
        <w:numPr>
          <w:ilvl w:val="0"/>
          <w:numId w:val="3"/>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opłaconą polisę, a w przypadku jej braku, inny dokument potwierdzający, że wykonawca jest ubezpieczony od odpowiedzialności cywilnej w zakresie prowadzonej działalności związanej z przedmiotem zamówienia.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03777" w:rsidRPr="001D0D88" w:rsidRDefault="00403777" w:rsidP="00BD6963">
      <w:pPr>
        <w:numPr>
          <w:ilvl w:val="0"/>
          <w:numId w:val="4"/>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opłaconą polisę, a w przypadku jej braku, inny dokument potwierdzający, że inny podmiot jest ubezpieczony od odpowiedzialności cywilnej w zakresie prowadzonej działalności związanej z przedmiotem zamówienia;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III.4.2) W zakresie potwierdzenia niepodlegania wykluczeniu na podstawie art. 24 ust. 1 ustawy, należy przedłożyć:</w:t>
      </w:r>
    </w:p>
    <w:p w:rsidR="00403777" w:rsidRPr="001D0D88" w:rsidRDefault="00403777" w:rsidP="00BD6963">
      <w:pPr>
        <w:numPr>
          <w:ilvl w:val="0"/>
          <w:numId w:val="5"/>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oświadczenie o braku podstaw do wykluczenia;</w:t>
      </w:r>
    </w:p>
    <w:p w:rsidR="00403777" w:rsidRPr="001D0D88" w:rsidRDefault="00403777" w:rsidP="00BD6963">
      <w:pPr>
        <w:numPr>
          <w:ilvl w:val="0"/>
          <w:numId w:val="5"/>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III.4.3) Dokumenty podmiotów zagranicznych</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Jeżeli wykonawca ma siedzibę lub miejsce zamieszkania poza terytorium Rzeczypospolitej Polskiej, przedkłada: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III.4.3.1) dokument wystawiony w kraju, w którym ma siedzibę lub miejsce zamieszkania potwierdzający, że:</w:t>
      </w:r>
    </w:p>
    <w:p w:rsidR="00403777" w:rsidRPr="001D0D88" w:rsidRDefault="00403777" w:rsidP="00BD6963">
      <w:pPr>
        <w:numPr>
          <w:ilvl w:val="0"/>
          <w:numId w:val="6"/>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03777" w:rsidRPr="001D0D88" w:rsidRDefault="00403777" w:rsidP="00BD6963">
      <w:pPr>
        <w:numPr>
          <w:ilvl w:val="0"/>
          <w:numId w:val="6"/>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III.4.4) Dokumenty dotyczące przynależności do tej samej grupy kapitałowej</w:t>
      </w:r>
    </w:p>
    <w:p w:rsidR="00403777" w:rsidRPr="001D0D88" w:rsidRDefault="00403777" w:rsidP="00BD6963">
      <w:pPr>
        <w:numPr>
          <w:ilvl w:val="0"/>
          <w:numId w:val="7"/>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lista podmiotów należących do tej samej grupy kapitałowej w rozumieniu ustawy z dnia 16 lutego 2007 r. o ochronie konkurencji i konsumentów albo informacji o tym, że nie należy do grupy kapitałowej;</w:t>
      </w:r>
    </w:p>
    <w:p w:rsidR="00403777" w:rsidRPr="001D0D88" w:rsidRDefault="00403777" w:rsidP="00BD6963">
      <w:pPr>
        <w:spacing w:before="0" w:line="276" w:lineRule="auto"/>
        <w:rPr>
          <w:rFonts w:ascii="Times New Roman" w:hAnsi="Times New Roman" w:cs="Times New Roman"/>
          <w:color w:val="auto"/>
          <w:lang w:eastAsia="pl-PL"/>
        </w:rPr>
      </w:pP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III.5) INFORMACJA O DOKUMENTACH POTWIERDZAJĄCYCH, ŻE OFEROWANE DOSTAWY, USŁUGI LUB ROBOTY BUDOWLANE ODPOWIADAJĄ OKREŚLONYM WYMAGANIOM</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W zakresie potwierdzenia, że oferowane roboty budowlane, dostawy lub usługi odpowiadają określonym wymaganiom należy przedłożyć:</w:t>
      </w:r>
    </w:p>
    <w:p w:rsidR="00403777" w:rsidRPr="001D0D88" w:rsidRDefault="00403777" w:rsidP="00BD6963">
      <w:pPr>
        <w:numPr>
          <w:ilvl w:val="0"/>
          <w:numId w:val="8"/>
        </w:numPr>
        <w:spacing w:before="0" w:line="276" w:lineRule="auto"/>
        <w:ind w:right="300"/>
        <w:jc w:val="both"/>
        <w:rPr>
          <w:rFonts w:ascii="Times New Roman" w:hAnsi="Times New Roman" w:cs="Times New Roman"/>
          <w:color w:val="auto"/>
          <w:lang w:eastAsia="pl-PL"/>
        </w:rPr>
      </w:pPr>
      <w:r w:rsidRPr="001D0D88">
        <w:rPr>
          <w:rFonts w:ascii="Times New Roman" w:hAnsi="Times New Roman" w:cs="Times New Roman"/>
          <w:color w:val="auto"/>
          <w:lang w:eastAsia="pl-PL"/>
        </w:rPr>
        <w:t>próbki, opisy lub fotografie produktów, które mają zostać dostarczone, których autentyczność musi zostać poświadczona przez wykonawcę na żądanie zamawiającego;</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color w:val="auto"/>
          <w:lang w:eastAsia="pl-PL"/>
        </w:rPr>
        <w:t>SEKCJA IV: PROCEDURA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IV.1) TRYB UDZIELENIA ZAMÓWIENIA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IV.1.1) Tryb udzielenia zamówienia:</w:t>
      </w:r>
      <w:r w:rsidRPr="001D0D88">
        <w:rPr>
          <w:rFonts w:ascii="Times New Roman" w:hAnsi="Times New Roman" w:cs="Times New Roman"/>
          <w:color w:val="auto"/>
          <w:lang w:eastAsia="pl-PL"/>
        </w:rPr>
        <w:t xml:space="preserve"> przetarg nieograniczony.</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IV.2) KRYTERIA OCENY OFERT</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 xml:space="preserve">IV.2.1) Kryteria oceny ofert: </w:t>
      </w:r>
      <w:r w:rsidRPr="001D0D88">
        <w:rPr>
          <w:rFonts w:ascii="Times New Roman" w:hAnsi="Times New Roman" w:cs="Times New Roman"/>
          <w:color w:val="auto"/>
          <w:lang w:eastAsia="pl-PL"/>
        </w:rPr>
        <w:t>najniższa cena.</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IV.4) INFORMACJE ADMINISTRACYJNE</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IV.4.1)</w:t>
      </w:r>
      <w:r w:rsidRPr="001D0D88">
        <w:rPr>
          <w:rFonts w:ascii="Times New Roman" w:hAnsi="Times New Roman" w:cs="Times New Roman"/>
          <w:color w:val="auto"/>
          <w:lang w:eastAsia="pl-PL"/>
        </w:rPr>
        <w:t> </w:t>
      </w:r>
      <w:r w:rsidRPr="001D0D88">
        <w:rPr>
          <w:rFonts w:ascii="Times New Roman" w:hAnsi="Times New Roman" w:cs="Times New Roman"/>
          <w:b/>
          <w:bCs/>
          <w:color w:val="auto"/>
          <w:lang w:eastAsia="pl-PL"/>
        </w:rPr>
        <w:t>Adres strony internetowej, na której jest dostępna specyfikacja istotnych warunków zamówienia:</w:t>
      </w:r>
      <w:r w:rsidRPr="001D0D88">
        <w:rPr>
          <w:rFonts w:ascii="Times New Roman" w:hAnsi="Times New Roman" w:cs="Times New Roman"/>
          <w:color w:val="auto"/>
          <w:lang w:eastAsia="pl-PL"/>
        </w:rPr>
        <w:t xml:space="preserve"> ugregnow.pl</w:t>
      </w:r>
      <w:r w:rsidRPr="001D0D88">
        <w:rPr>
          <w:rFonts w:ascii="Times New Roman" w:hAnsi="Times New Roman" w:cs="Times New Roman"/>
          <w:color w:val="auto"/>
          <w:lang w:eastAsia="pl-PL"/>
        </w:rPr>
        <w:br/>
      </w:r>
      <w:r w:rsidRPr="001D0D88">
        <w:rPr>
          <w:rFonts w:ascii="Times New Roman" w:hAnsi="Times New Roman" w:cs="Times New Roman"/>
          <w:b/>
          <w:bCs/>
          <w:color w:val="auto"/>
          <w:lang w:eastAsia="pl-PL"/>
        </w:rPr>
        <w:t>Specyfikację istotnych warunków zamówienia można uzyskać pod adresem:</w:t>
      </w:r>
      <w:r w:rsidRPr="001D0D88">
        <w:rPr>
          <w:rFonts w:ascii="Times New Roman" w:hAnsi="Times New Roman" w:cs="Times New Roman"/>
          <w:color w:val="auto"/>
          <w:lang w:eastAsia="pl-PL"/>
        </w:rPr>
        <w:t xml:space="preserve"> Urząd Gminy w Regnowie. Regnów 95, 96-232 Regnów. pok. nr 3.</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IV.4.4) Termin składania wniosków o dopuszczenie do udziału w postępowaniu lub ofert:</w:t>
      </w:r>
      <w:r w:rsidRPr="001D0D88">
        <w:rPr>
          <w:rFonts w:ascii="Times New Roman" w:hAnsi="Times New Roman" w:cs="Times New Roman"/>
          <w:color w:val="auto"/>
          <w:lang w:eastAsia="pl-PL"/>
        </w:rPr>
        <w:t xml:space="preserve"> </w:t>
      </w:r>
      <w:r>
        <w:rPr>
          <w:rFonts w:ascii="Times New Roman" w:hAnsi="Times New Roman" w:cs="Times New Roman"/>
          <w:color w:val="auto"/>
          <w:lang w:eastAsia="pl-PL"/>
        </w:rPr>
        <w:t xml:space="preserve">do dnia </w:t>
      </w:r>
      <w:r w:rsidRPr="001D0D88">
        <w:rPr>
          <w:rFonts w:ascii="Times New Roman" w:hAnsi="Times New Roman" w:cs="Times New Roman"/>
          <w:color w:val="auto"/>
          <w:lang w:eastAsia="pl-PL"/>
        </w:rPr>
        <w:t>22.09.2014 godzina 09:00, miejsce: Urząd Gminy w Regnowie. Regnów 95, 96-232 Regnów. pok. nr 8 -sekretariat.</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IV.4.5) Termin związania ofertą:</w:t>
      </w:r>
      <w:r w:rsidRPr="001D0D88">
        <w:rPr>
          <w:rFonts w:ascii="Times New Roman" w:hAnsi="Times New Roman" w:cs="Times New Roman"/>
          <w:color w:val="auto"/>
          <w:lang w:eastAsia="pl-PL"/>
        </w:rPr>
        <w:t xml:space="preserve"> okres w dniach: 30 (od ostatecznego terminu składania ofert).</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IV.4.16) Informacje dodatkowe, w tym dotyczące finansowania projektu/programu ze środków Unii Europejskiej:</w:t>
      </w:r>
      <w:r w:rsidRPr="001D0D88">
        <w:rPr>
          <w:rFonts w:ascii="Times New Roman" w:hAnsi="Times New Roman" w:cs="Times New Roman"/>
          <w:color w:val="auto"/>
          <w:lang w:eastAsia="pl-PL"/>
        </w:rPr>
        <w:t xml:space="preserve"> w ramach projektu nr: UDA-POKL.09.01.01-10-005/13-00 pt: Przedszkole w Szkole Podstawowej w Gminie Regnów. IX. Rozwój wykształcenia i kompetencji w regionach, 9.1. Wyrównywanie szans edukacyjnych i zapewnienie wysokiej jakości usług edukacyjnych świadczonych w systemie oświaty , 9.1.1. Zmniejszanie nierówności w stopniu upowszechnienia edukacji przedszkolnej.</w:t>
      </w:r>
    </w:p>
    <w:p w:rsidR="00403777" w:rsidRPr="001D0D88" w:rsidRDefault="00403777" w:rsidP="00BD6963">
      <w:pPr>
        <w:spacing w:before="0" w:line="276" w:lineRule="auto"/>
        <w:rPr>
          <w:rFonts w:ascii="Times New Roman" w:hAnsi="Times New Roman" w:cs="Times New Roman"/>
          <w:color w:val="auto"/>
          <w:lang w:eastAsia="pl-PL"/>
        </w:rPr>
      </w:pPr>
      <w:r w:rsidRPr="001D0D88">
        <w:rPr>
          <w:rFonts w:ascii="Times New Roman" w:hAnsi="Times New Roman" w:cs="Times New Roman"/>
          <w:b/>
          <w:bCs/>
          <w:color w:val="auto"/>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D0D88">
        <w:rPr>
          <w:rFonts w:ascii="Times New Roman" w:hAnsi="Times New Roman" w:cs="Times New Roman"/>
          <w:color w:val="auto"/>
          <w:lang w:eastAsia="pl-PL"/>
        </w:rPr>
        <w:t>nie</w:t>
      </w:r>
    </w:p>
    <w:p w:rsidR="00403777" w:rsidRDefault="00403777" w:rsidP="00BD6963">
      <w:pPr>
        <w:spacing w:before="0" w:line="276" w:lineRule="auto"/>
      </w:pPr>
    </w:p>
    <w:sectPr w:rsidR="00403777" w:rsidSect="00BD6963">
      <w:pgSz w:w="11906" w:h="16838"/>
      <w:pgMar w:top="1417" w:right="113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675"/>
    <w:multiLevelType w:val="multilevel"/>
    <w:tmpl w:val="ADE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A35FFE"/>
    <w:multiLevelType w:val="multilevel"/>
    <w:tmpl w:val="E088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75529"/>
    <w:multiLevelType w:val="multilevel"/>
    <w:tmpl w:val="9EA8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665989"/>
    <w:multiLevelType w:val="multilevel"/>
    <w:tmpl w:val="48DEC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1081B"/>
    <w:multiLevelType w:val="multilevel"/>
    <w:tmpl w:val="54AE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6446F"/>
    <w:multiLevelType w:val="multilevel"/>
    <w:tmpl w:val="330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2558CD"/>
    <w:multiLevelType w:val="multilevel"/>
    <w:tmpl w:val="DFB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096BD0"/>
    <w:multiLevelType w:val="multilevel"/>
    <w:tmpl w:val="A10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D88"/>
    <w:rsid w:val="000232D9"/>
    <w:rsid w:val="001D0D88"/>
    <w:rsid w:val="002B3C9D"/>
    <w:rsid w:val="00351368"/>
    <w:rsid w:val="00392B58"/>
    <w:rsid w:val="003B3659"/>
    <w:rsid w:val="003C6997"/>
    <w:rsid w:val="00403777"/>
    <w:rsid w:val="0043302C"/>
    <w:rsid w:val="004418A9"/>
    <w:rsid w:val="00453467"/>
    <w:rsid w:val="0050224B"/>
    <w:rsid w:val="00514422"/>
    <w:rsid w:val="00560389"/>
    <w:rsid w:val="006325CF"/>
    <w:rsid w:val="00751E1C"/>
    <w:rsid w:val="008B12DA"/>
    <w:rsid w:val="00B45058"/>
    <w:rsid w:val="00B65D99"/>
    <w:rsid w:val="00B81877"/>
    <w:rsid w:val="00BD6963"/>
    <w:rsid w:val="00C17615"/>
    <w:rsid w:val="00C71720"/>
    <w:rsid w:val="00C96914"/>
    <w:rsid w:val="00CB2703"/>
    <w:rsid w:val="00D12078"/>
    <w:rsid w:val="00DD5649"/>
    <w:rsid w:val="00E806FF"/>
    <w:rsid w:val="00EF0F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49"/>
    <w:pPr>
      <w:spacing w:before="240" w:line="290" w:lineRule="exact"/>
    </w:pPr>
    <w:rPr>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header">
    <w:name w:val="kh_header"/>
    <w:basedOn w:val="Normal"/>
    <w:uiPriority w:val="99"/>
    <w:rsid w:val="001D0D88"/>
    <w:pPr>
      <w:spacing w:before="100" w:beforeAutospacing="1" w:after="100" w:afterAutospacing="1" w:line="240" w:lineRule="auto"/>
    </w:pPr>
    <w:rPr>
      <w:rFonts w:ascii="Times New Roman" w:eastAsia="Times New Roman" w:hAnsi="Times New Roman" w:cs="Times New Roman"/>
      <w:color w:val="auto"/>
      <w:lang w:eastAsia="pl-PL"/>
    </w:rPr>
  </w:style>
  <w:style w:type="paragraph" w:styleId="NormalWeb">
    <w:name w:val="Normal (Web)"/>
    <w:basedOn w:val="Normal"/>
    <w:uiPriority w:val="99"/>
    <w:semiHidden/>
    <w:rsid w:val="001D0D88"/>
    <w:pPr>
      <w:spacing w:before="100" w:beforeAutospacing="1" w:after="100" w:afterAutospacing="1" w:line="240" w:lineRule="auto"/>
    </w:pPr>
    <w:rPr>
      <w:rFonts w:ascii="Times New Roman" w:eastAsia="Times New Roman" w:hAnsi="Times New Roman" w:cs="Times New Roman"/>
      <w:color w:val="auto"/>
      <w:lang w:eastAsia="pl-PL"/>
    </w:rPr>
  </w:style>
  <w:style w:type="paragraph" w:customStyle="1" w:styleId="khtitle">
    <w:name w:val="kh_title"/>
    <w:basedOn w:val="Normal"/>
    <w:uiPriority w:val="99"/>
    <w:rsid w:val="001D0D88"/>
    <w:pPr>
      <w:spacing w:before="100" w:beforeAutospacing="1" w:after="100" w:afterAutospacing="1" w:line="240" w:lineRule="auto"/>
    </w:pPr>
    <w:rPr>
      <w:rFonts w:ascii="Times New Roman" w:eastAsia="Times New Roman" w:hAnsi="Times New Roman" w:cs="Times New Roman"/>
      <w:color w:val="auto"/>
      <w:lang w:eastAsia="pl-PL"/>
    </w:rPr>
  </w:style>
  <w:style w:type="paragraph" w:customStyle="1" w:styleId="bold">
    <w:name w:val="bold"/>
    <w:basedOn w:val="Normal"/>
    <w:uiPriority w:val="99"/>
    <w:rsid w:val="001D0D88"/>
    <w:pPr>
      <w:spacing w:before="100" w:beforeAutospacing="1" w:after="100" w:afterAutospacing="1" w:line="240" w:lineRule="auto"/>
    </w:pPr>
    <w:rPr>
      <w:rFonts w:ascii="Times New Roman" w:eastAsia="Times New Roman" w:hAnsi="Times New Roman" w:cs="Times New Roman"/>
      <w:color w:val="auto"/>
      <w:lang w:eastAsia="pl-PL"/>
    </w:rPr>
  </w:style>
</w:styles>
</file>

<file path=word/webSettings.xml><?xml version="1.0" encoding="utf-8"?>
<w:webSettings xmlns:r="http://schemas.openxmlformats.org/officeDocument/2006/relationships" xmlns:w="http://schemas.openxmlformats.org/wordprocessingml/2006/main">
  <w:divs>
    <w:div w:id="1358120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1995</Words>
  <Characters>11973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Regnów</dc:creator>
  <cp:keywords/>
  <dc:description/>
  <cp:lastModifiedBy>UG REGNÓW</cp:lastModifiedBy>
  <cp:revision>4</cp:revision>
  <dcterms:created xsi:type="dcterms:W3CDTF">2014-09-05T08:09:00Z</dcterms:created>
  <dcterms:modified xsi:type="dcterms:W3CDTF">2014-09-05T08:35:00Z</dcterms:modified>
</cp:coreProperties>
</file>